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3A032783" w:rsidR="00A1196B" w:rsidRPr="007B4CA4" w:rsidRDefault="00B17689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 w:rsidRPr="007B4CA4">
        <w:rPr>
          <w:rFonts w:eastAsia="Calibri" w:cs="Arial"/>
          <w:bCs/>
          <w:color w:val="000000"/>
          <w:lang w:val="sk-SK" w:eastAsia="cs-CZ"/>
        </w:rPr>
        <w:t xml:space="preserve">Český </w:t>
      </w:r>
      <w:r w:rsidR="0041428E" w:rsidRPr="007B4CA4">
        <w:rPr>
          <w:rFonts w:eastAsia="Calibri" w:cs="Arial"/>
          <w:bCs/>
          <w:color w:val="000000"/>
          <w:lang w:val="sk-SK" w:eastAsia="cs-CZ"/>
        </w:rPr>
        <w:t xml:space="preserve">DACHSER </w:t>
      </w:r>
      <w:r w:rsidRPr="007B4CA4">
        <w:rPr>
          <w:rFonts w:eastAsia="Calibri" w:cs="Arial"/>
          <w:bCs/>
          <w:color w:val="000000"/>
          <w:lang w:val="sk-SK" w:eastAsia="cs-CZ"/>
        </w:rPr>
        <w:t>v Českých Budějoviciach funguje v nových priestoroch</w:t>
      </w:r>
    </w:p>
    <w:p w14:paraId="0186EC4B" w14:textId="77777777" w:rsidR="006E0D2C" w:rsidRDefault="00B17689" w:rsidP="00263CD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  <w:proofErr w:type="spellStart"/>
      <w:r w:rsidRPr="00E9108E">
        <w:rPr>
          <w:rFonts w:ascii="Arial" w:eastAsia="Calibri" w:hAnsi="Arial" w:cs="Arial"/>
          <w:b/>
          <w:bCs/>
          <w:color w:val="000000"/>
          <w:lang w:val="sk-SK"/>
        </w:rPr>
        <w:t>Českobudejovická</w:t>
      </w:r>
      <w:proofErr w:type="spellEnd"/>
      <w:r w:rsidRPr="00E9108E">
        <w:rPr>
          <w:rFonts w:ascii="Arial" w:eastAsia="Calibri" w:hAnsi="Arial" w:cs="Arial"/>
          <w:b/>
          <w:bCs/>
          <w:color w:val="000000"/>
          <w:lang w:val="sk-SK"/>
        </w:rPr>
        <w:t xml:space="preserve"> pobočka logistickej spoločnosti DACHSER </w:t>
      </w:r>
      <w:proofErr w:type="spellStart"/>
      <w:r w:rsidRPr="00E9108E">
        <w:rPr>
          <w:rFonts w:ascii="Arial" w:eastAsia="Calibri" w:hAnsi="Arial" w:cs="Arial"/>
          <w:b/>
          <w:bCs/>
          <w:color w:val="000000"/>
          <w:lang w:val="sk-SK"/>
        </w:rPr>
        <w:t>Czech</w:t>
      </w:r>
      <w:proofErr w:type="spellEnd"/>
      <w:r w:rsidRPr="00E9108E">
        <w:rPr>
          <w:rFonts w:ascii="Arial" w:eastAsia="Calibri" w:hAnsi="Arial" w:cs="Arial"/>
          <w:b/>
          <w:bCs/>
          <w:color w:val="000000"/>
          <w:lang w:val="sk-SK"/>
        </w:rPr>
        <w:t xml:space="preserve"> </w:t>
      </w:r>
      <w:proofErr w:type="spellStart"/>
      <w:r w:rsidRPr="00E9108E">
        <w:rPr>
          <w:rFonts w:ascii="Arial" w:eastAsia="Calibri" w:hAnsi="Arial" w:cs="Arial"/>
          <w:b/>
          <w:bCs/>
          <w:color w:val="000000"/>
          <w:lang w:val="sk-SK"/>
        </w:rPr>
        <w:t>Republic</w:t>
      </w:r>
      <w:proofErr w:type="spellEnd"/>
      <w:r w:rsidRPr="00E9108E">
        <w:rPr>
          <w:rFonts w:ascii="Arial" w:eastAsia="Calibri" w:hAnsi="Arial" w:cs="Arial"/>
          <w:b/>
          <w:bCs/>
          <w:color w:val="000000"/>
          <w:lang w:val="sk-SK"/>
        </w:rPr>
        <w:t xml:space="preserve"> sa presťahovala do nových priestorov vo VGP Parku České Budějovice v komerčnej zóne </w:t>
      </w:r>
      <w:proofErr w:type="spellStart"/>
      <w:r w:rsidRPr="00E9108E">
        <w:rPr>
          <w:rFonts w:ascii="Arial" w:eastAsia="Calibri" w:hAnsi="Arial" w:cs="Arial"/>
          <w:b/>
          <w:bCs/>
          <w:color w:val="000000"/>
          <w:lang w:val="sk-SK"/>
        </w:rPr>
        <w:t>Světlík</w:t>
      </w:r>
      <w:proofErr w:type="spellEnd"/>
      <w:r w:rsidRPr="00E9108E">
        <w:rPr>
          <w:rFonts w:ascii="Arial" w:eastAsia="Calibri" w:hAnsi="Arial" w:cs="Arial"/>
          <w:b/>
          <w:bCs/>
          <w:color w:val="000000"/>
          <w:lang w:val="sk-SK"/>
        </w:rPr>
        <w:t xml:space="preserve"> na okraji juhočeskej metropoly. Na takmer 7 000 m</w:t>
      </w:r>
      <w:r w:rsidRPr="00E9108E">
        <w:rPr>
          <w:rFonts w:ascii="Arial" w:eastAsia="Calibri" w:hAnsi="Arial" w:cs="Arial"/>
          <w:b/>
          <w:bCs/>
          <w:color w:val="000000"/>
          <w:vertAlign w:val="superscript"/>
          <w:lang w:val="sk-SK"/>
        </w:rPr>
        <w:t>2</w:t>
      </w:r>
      <w:r w:rsidRPr="00E9108E">
        <w:rPr>
          <w:rFonts w:ascii="Arial" w:eastAsia="Calibri" w:hAnsi="Arial" w:cs="Arial"/>
          <w:b/>
          <w:bCs/>
          <w:color w:val="000000"/>
          <w:lang w:val="sk-SK"/>
        </w:rPr>
        <w:t xml:space="preserve"> logistických a kancelárskych priestorov bude realizovať komplexné logistické služby. K dispozícii je skladová kapacita 6 900 paletových miest pre služby kontraktnej logistiky.</w:t>
      </w:r>
    </w:p>
    <w:p w14:paraId="637AE8D1" w14:textId="77777777" w:rsidR="006E0D2C" w:rsidRDefault="006E0D2C" w:rsidP="006E0D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</w:p>
    <w:p w14:paraId="7417F62A" w14:textId="3023AB99" w:rsidR="005C4EB5" w:rsidRPr="006E0D2C" w:rsidRDefault="00B17689" w:rsidP="006E0D2C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  <w:r w:rsidRPr="005C4EB5">
        <w:rPr>
          <w:rFonts w:ascii="Arial" w:hAnsi="Arial" w:cs="Arial"/>
          <w:bCs/>
          <w:szCs w:val="24"/>
          <w:lang w:val="sk-SK"/>
        </w:rPr>
        <w:t xml:space="preserve">DACHSER v Českých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Budejoviciach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po 16 rokoch zmenil svoju adresu. Odteraz operuje z budovy postavenej na mieru v režime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build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>-to-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suit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developerskou spoločnosťou VGP na ulici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Zlievárenská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na okraji mesta. Stavba bola odovzdaná v termíne v polovici marca</w:t>
      </w:r>
      <w:r w:rsidRPr="005C4EB5">
        <w:rPr>
          <w:rFonts w:ascii="Arial" w:hAnsi="Arial" w:cs="Arial"/>
          <w:bCs/>
          <w:i/>
          <w:iCs/>
          <w:szCs w:val="24"/>
          <w:lang w:val="sk-SK"/>
        </w:rPr>
        <w:t>. „Máme za sebou náročnú fázu sťahovania pobočky a zamestnancov a v súčasnosti už plne využívame výhody nových priestorov“</w:t>
      </w:r>
      <w:r w:rsidRPr="005C4EB5">
        <w:rPr>
          <w:rFonts w:ascii="Arial" w:hAnsi="Arial" w:cs="Arial"/>
          <w:bCs/>
          <w:szCs w:val="24"/>
          <w:lang w:val="sk-SK"/>
        </w:rPr>
        <w:t xml:space="preserve">, uvádza vedúci pobočky DACHSER v Českých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Budejoviciach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Petr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Papan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, a dodáva: </w:t>
      </w:r>
      <w:r w:rsidRPr="005C4EB5">
        <w:rPr>
          <w:rFonts w:ascii="Arial" w:hAnsi="Arial" w:cs="Arial"/>
          <w:bCs/>
          <w:i/>
          <w:iCs/>
          <w:szCs w:val="24"/>
          <w:lang w:val="sk-SK"/>
        </w:rPr>
        <w:t>„Moderné, priestranné logistické priestory nám teraz umožnia poskytovať ešte lepšiu kvalitu služieb a dostatok nakladacích rámp, optimalizáciu a zrýchlenie manipulácie pri nakládke a vykládke.“</w:t>
      </w:r>
    </w:p>
    <w:p w14:paraId="2D838C0A" w14:textId="77777777" w:rsidR="001C61C4" w:rsidRDefault="00C732F2" w:rsidP="001C61C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iCs/>
          <w:szCs w:val="24"/>
          <w:lang w:val="sk-SK"/>
        </w:rPr>
      </w:pPr>
      <w:r w:rsidRPr="005C4EB5">
        <w:rPr>
          <w:rFonts w:ascii="Arial" w:hAnsi="Arial" w:cs="Arial"/>
          <w:bCs/>
          <w:szCs w:val="24"/>
          <w:lang w:val="sk-SK"/>
        </w:rPr>
        <w:t xml:space="preserve">DACHSER je špecialista na zbernú službu a jeho pobočka na juhu Čiech má priame napojenie na európsku sieť pozemných prepráv, ktorá má takmer 300 vlastných a partnerských pobočiek. </w:t>
      </w:r>
      <w:r w:rsidRPr="005C4EB5">
        <w:rPr>
          <w:rFonts w:ascii="Arial" w:hAnsi="Arial" w:cs="Arial"/>
          <w:bCs/>
          <w:i/>
          <w:iCs/>
          <w:szCs w:val="24"/>
          <w:lang w:val="sk-SK"/>
        </w:rPr>
        <w:t>„Strategická poloha pobočky a väčšie priestory prekládkovej haly umožnia, aby sa pobočka stala v rámci siete spoločnosti DACHSER aj platformou zbernej služby pre zásielky do Rakúska,“</w:t>
      </w:r>
      <w:r w:rsidRPr="005C4EB5">
        <w:rPr>
          <w:rFonts w:ascii="Arial" w:hAnsi="Arial" w:cs="Arial"/>
          <w:bCs/>
          <w:szCs w:val="24"/>
          <w:lang w:val="sk-SK"/>
        </w:rPr>
        <w:t xml:space="preserve"> uvádza Ing. Ján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Pihar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, generálny riaditeľ DACHSER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Czech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Republic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. Nové priestory navyše vytvárajú podmienky pre rozšírenie ponuky kontraktnej logistiky v Českých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Budejoviciach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>.</w:t>
      </w:r>
      <w:r w:rsidR="005C4EB5">
        <w:rPr>
          <w:rFonts w:ascii="Arial" w:hAnsi="Arial" w:cs="Arial"/>
          <w:bCs/>
          <w:szCs w:val="24"/>
          <w:lang w:val="sk-SK"/>
        </w:rPr>
        <w:br/>
      </w:r>
      <w:r w:rsidR="005C4EB5">
        <w:rPr>
          <w:rFonts w:ascii="Arial" w:hAnsi="Arial" w:cs="Arial"/>
          <w:bCs/>
          <w:i/>
          <w:iCs/>
          <w:szCs w:val="24"/>
          <w:lang w:val="sk-SK"/>
        </w:rPr>
        <w:br/>
      </w:r>
      <w:r w:rsidRPr="005C4EB5">
        <w:rPr>
          <w:rFonts w:ascii="Arial" w:hAnsi="Arial" w:cs="Arial"/>
          <w:b/>
          <w:szCs w:val="24"/>
          <w:lang w:val="sk-SK"/>
        </w:rPr>
        <w:t>Technológia pre úsporu zdrojov</w:t>
      </w:r>
    </w:p>
    <w:p w14:paraId="5F1E30E2" w14:textId="06A61BC2" w:rsidR="005C4EB5" w:rsidRPr="001C61C4" w:rsidRDefault="00C732F2" w:rsidP="001C61C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iCs/>
          <w:szCs w:val="24"/>
          <w:lang w:val="sk-SK"/>
        </w:rPr>
      </w:pPr>
      <w:r w:rsidRPr="005C4EB5">
        <w:rPr>
          <w:rFonts w:ascii="Arial" w:hAnsi="Arial" w:cs="Arial"/>
          <w:bCs/>
          <w:szCs w:val="24"/>
          <w:lang w:val="sk-SK"/>
        </w:rPr>
        <w:t xml:space="preserve">V priestoroch pre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českobudejovickú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pobočku DACHSERU sú využívané technológie na úsporu zdrojov, ktoré zahŕňajú okrem iného LED osvetlenie, rekuperáciu tepla či zariadenia na šetrné nakladanie s pitnou vodou a ďalšie. Budova aj celý priemyselný park sú stavané aj s ohľadom na využitie technológií budúcnosti. DACHSER v súlade so svojou stratégiou na ochranu klímy rozširuje používanie nákladných vozidiel na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elektropohon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. S prechodom na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elektromobilitu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počíta aj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českobudejovická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pobočka, ktorá by v budúcnosti mala využívať rýchlych aj pomalých nabíjacích staníc, pre ktoré je v areáli pripravené technické zázemie.</w:t>
      </w:r>
    </w:p>
    <w:p w14:paraId="65F6A32E" w14:textId="731A9DA1" w:rsidR="00382F6F" w:rsidRPr="005C4EB5" w:rsidRDefault="00C732F2" w:rsidP="005C4EB5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5C4EB5">
        <w:rPr>
          <w:rFonts w:ascii="Arial" w:hAnsi="Arial" w:cs="Arial"/>
          <w:bCs/>
          <w:szCs w:val="24"/>
          <w:lang w:val="sk-SK"/>
        </w:rPr>
        <w:lastRenderedPageBreak/>
        <w:t xml:space="preserve">Pobočka spoločnosti DACHSER v Českých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Budejoviciach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zahŕňa 2 000 m</w:t>
      </w:r>
      <w:r w:rsidRPr="005C4EB5">
        <w:rPr>
          <w:rFonts w:ascii="Arial" w:hAnsi="Arial" w:cs="Arial"/>
          <w:bCs/>
          <w:szCs w:val="24"/>
          <w:vertAlign w:val="superscript"/>
          <w:lang w:val="sk-SK"/>
        </w:rPr>
        <w:t>2</w:t>
      </w:r>
      <w:r w:rsidRPr="005C4EB5">
        <w:rPr>
          <w:rFonts w:ascii="Arial" w:hAnsi="Arial" w:cs="Arial"/>
          <w:bCs/>
          <w:szCs w:val="24"/>
          <w:lang w:val="sk-SK"/>
        </w:rPr>
        <w:t xml:space="preserve"> prekládkovej a cez 4 300 m</w:t>
      </w:r>
      <w:r w:rsidRPr="005C4EB5">
        <w:rPr>
          <w:rFonts w:ascii="Arial" w:hAnsi="Arial" w:cs="Arial"/>
          <w:bCs/>
          <w:szCs w:val="24"/>
          <w:vertAlign w:val="superscript"/>
          <w:lang w:val="sk-SK"/>
        </w:rPr>
        <w:t>2</w:t>
      </w:r>
      <w:r w:rsidRPr="005C4EB5">
        <w:rPr>
          <w:rFonts w:ascii="Arial" w:hAnsi="Arial" w:cs="Arial"/>
          <w:bCs/>
          <w:szCs w:val="24"/>
          <w:lang w:val="sk-SK"/>
        </w:rPr>
        <w:t xml:space="preserve"> skladovej plochy s kapacitou približne 6 900 paletových miest. Administratívnu časť tvorí cca 630 m</w:t>
      </w:r>
      <w:r w:rsidRPr="005C4EB5">
        <w:rPr>
          <w:rFonts w:ascii="Arial" w:hAnsi="Arial" w:cs="Arial"/>
          <w:bCs/>
          <w:szCs w:val="24"/>
          <w:vertAlign w:val="superscript"/>
          <w:lang w:val="sk-SK"/>
        </w:rPr>
        <w:t xml:space="preserve">2 </w:t>
      </w:r>
      <w:r w:rsidRPr="005C4EB5">
        <w:rPr>
          <w:rFonts w:ascii="Arial" w:hAnsi="Arial" w:cs="Arial"/>
          <w:bCs/>
          <w:szCs w:val="24"/>
          <w:lang w:val="sk-SK"/>
        </w:rPr>
        <w:t xml:space="preserve">moderných kancelárií. VGP Park České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Budejovice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sa nachádza na okraji mesta v komerčnej zóne </w:t>
      </w:r>
      <w:proofErr w:type="spellStart"/>
      <w:r w:rsidRPr="005C4EB5">
        <w:rPr>
          <w:rFonts w:ascii="Arial" w:hAnsi="Arial" w:cs="Arial"/>
          <w:bCs/>
          <w:szCs w:val="24"/>
          <w:lang w:val="sk-SK"/>
        </w:rPr>
        <w:t>Světlík</w:t>
      </w:r>
      <w:proofErr w:type="spellEnd"/>
      <w:r w:rsidRPr="005C4EB5">
        <w:rPr>
          <w:rFonts w:ascii="Arial" w:hAnsi="Arial" w:cs="Arial"/>
          <w:bCs/>
          <w:szCs w:val="24"/>
          <w:lang w:val="sk-SK"/>
        </w:rPr>
        <w:t xml:space="preserve"> s vynikajúcim dopravným spojením do centra a priamym nájazdom na diaľnicu D3 spájajúcu Prahu a rakúsky Linz.</w:t>
      </w: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1CA2B51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3ECABB3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83D3BC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2FB3908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D26E523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0372BA32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2040EF94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3B3CE1AD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7633C5E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54F5D"/>
    <w:rsid w:val="00560595"/>
    <w:rsid w:val="00561E20"/>
    <w:rsid w:val="005674BD"/>
    <w:rsid w:val="0058115A"/>
    <w:rsid w:val="0058340A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9</TotalTime>
  <Pages>3</Pages>
  <Words>727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14</cp:revision>
  <cp:lastPrinted>2017-09-29T11:15:00Z</cp:lastPrinted>
  <dcterms:created xsi:type="dcterms:W3CDTF">2022-06-07T08:58:00Z</dcterms:created>
  <dcterms:modified xsi:type="dcterms:W3CDTF">2022-06-07T09:09:00Z</dcterms:modified>
</cp:coreProperties>
</file>